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43" w:rsidRPr="00B6474F" w:rsidRDefault="00175B43" w:rsidP="00175B43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175B43" w:rsidRPr="00B6474F" w:rsidRDefault="00175B43" w:rsidP="00175B43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175B43" w:rsidRPr="00B6474F" w:rsidRDefault="00175B43" w:rsidP="00175B43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175B43" w:rsidRPr="00B6474F" w:rsidRDefault="00175B43" w:rsidP="00175B43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175B43" w:rsidRPr="00B6474F" w:rsidRDefault="00175B43" w:rsidP="00175B43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175B43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175B43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175B43" w:rsidRPr="00B6474F" w:rsidRDefault="00175B43" w:rsidP="00175B43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75B43" w:rsidRDefault="00175B43" w:rsidP="00175B43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75B43" w:rsidRDefault="00175B43" w:rsidP="00175B43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75B43" w:rsidRPr="00B6474F" w:rsidRDefault="00175B43" w:rsidP="00175B43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702640" w:rsidRPr="00175B43" w:rsidRDefault="002E277E" w:rsidP="00175B43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1.1.4.</w:t>
      </w:r>
      <w:r w:rsidR="00D404BC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1.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 xml:space="preserve"> Международные стандарты финансовой отчетности</w:t>
      </w:r>
      <w:r w:rsidR="00D404BC" w:rsidRPr="00D404BC">
        <w:rPr>
          <w:rFonts w:ascii="Arial" w:hAnsi="Arial" w:cs="Arial"/>
          <w:color w:val="000000"/>
          <w:sz w:val="19"/>
          <w:szCs w:val="19"/>
        </w:rPr>
        <w:t xml:space="preserve"> </w:t>
      </w:r>
      <w:hyperlink r:id="rId6" w:history="1">
        <w:r w:rsidR="00D404BC" w:rsidRPr="00175B43">
          <w:rPr>
            <w:rStyle w:val="a4"/>
            <w:rFonts w:ascii="Arial" w:hAnsi="Arial" w:cs="Arial"/>
            <w:b/>
            <w:color w:val="auto"/>
            <w:sz w:val="24"/>
            <w:szCs w:val="24"/>
          </w:rPr>
          <w:t>часть 1 (темы 1–10, 12, 27–31)</w:t>
        </w:r>
      </w:hyperlink>
    </w:p>
    <w:p w:rsidR="00702640" w:rsidRPr="00175B43" w:rsidRDefault="00702640" w:rsidP="0070264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702640" w:rsidRPr="00175B43" w:rsidRDefault="00702640" w:rsidP="0070264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РАЗДЕЛ 1. ЭВОЛЮЦИЯ И КОНЦЕПТУАЛЬНЫЕ ОСНОВЫ МЕЖДУНАРОДНЫХ СТАНДАРТОВ ФИНАНСОВОЙ ОТЧЕТНОСТИ   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Тема 1. Процесс становления международных стандартов финансовой отчётности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Необходимость и предпосылки гармонизации стандартов подготовки финансовой отчётности. Процесс конвергенции МСФО и национальных стандартов составления финансовой отчётности. История создания международных стандартов. Структура Фонда МСФО. Совет по МСФО. Задачи и структура Совета по МСФО. Состав, структура и иерархия МСФО. Процедура разработки и принятия стандартов финансовой отчётности и интерпретаций. Тенденции дальнейшего развития МСФО. Проекты усовершенствования МСФО.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http://www.ifrs.org/IFRSs/Pages/Official-Unaccompanied-IFRS-Translations.aspx#ru   (дата обращения . 01.01.2014).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2. Принципы подготовки и представления финансовой отчетности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Предназначение, статус и сфера применения МСФО. Цель финансовой отчётности. Пользователи финансовой отчётности и их информационные потребности. Предназначение финансовой отчетности общего назначения. Основополагающее допущение — непрерывность деятельности. Обеспечение полезности информации в финансовой отчётности — базовые качественные характеристики отчётности: уместность и достоверное представление. Составляющие базовых качественных характеристик: существенность, полнота, нейтральность, отсутствие ошибок. Расширенные качественные характеристики финансовой отчетности: сопоставимость, </w:t>
      </w:r>
      <w:proofErr w:type="spellStart"/>
      <w:r w:rsidRPr="00175B43">
        <w:rPr>
          <w:rFonts w:ascii="Arial" w:hAnsi="Arial" w:cs="Arial"/>
          <w:sz w:val="24"/>
          <w:szCs w:val="24"/>
        </w:rPr>
        <w:t>проверяемость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, своевременность, понятность. Основное ограничение полезности финансовой отчетности:  затраты.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>ежим доступа: http://www.ifrs.org/IFRSs/Pages/Official-Unaccompanied-IFRS-</w:t>
      </w:r>
      <w:r w:rsidRPr="00175B43">
        <w:rPr>
          <w:rFonts w:ascii="Arial" w:hAnsi="Arial" w:cs="Arial"/>
          <w:bCs/>
          <w:sz w:val="24"/>
          <w:szCs w:val="24"/>
        </w:rPr>
        <w:lastRenderedPageBreak/>
        <w:t xml:space="preserve">Translations.aspx#ru   (дата обращения . 01.01.2014). </w:t>
      </w:r>
      <w:r w:rsidRPr="00175B43">
        <w:rPr>
          <w:rFonts w:ascii="Arial" w:hAnsi="Arial" w:cs="Arial"/>
          <w:bCs/>
          <w:sz w:val="24"/>
          <w:szCs w:val="24"/>
          <w:lang w:eastAsia="ru-RU"/>
        </w:rPr>
        <w:t>Концептуальные основы финансовой отчетности</w:t>
      </w:r>
      <w:r w:rsidRPr="00175B43">
        <w:rPr>
          <w:rFonts w:ascii="Arial" w:hAnsi="Arial" w:cs="Arial"/>
          <w:bCs/>
          <w:sz w:val="24"/>
          <w:szCs w:val="24"/>
        </w:rPr>
        <w:t>, стр. А8 – А21. 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Тема 3. Элементы финансовой отчётности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Элементы, связанные с оценкой финансового положения — активы, обязательства, капитал. Элементы, связанные с оценкой результатов деятельности — доходы и расходы. Определения, примеры и возможные трудности при классификации элементов. Критерии признания элементов финансовой отчётности, примеры.  Принцип соответствия доходов и расходов.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 xml:space="preserve">Методы </w:t>
      </w:r>
      <w:r w:rsidRPr="00175B43">
        <w:rPr>
          <w:rFonts w:ascii="Arial" w:hAnsi="Arial" w:cs="Arial"/>
          <w:sz w:val="24"/>
          <w:szCs w:val="24"/>
        </w:rPr>
        <w:t xml:space="preserve">оценки элементов финансовой отчётности: фактическая стоимость, восстановительная стоимость, возможная цена продажи, дисконтированная стоимость. Примеры использования различных методов оценки. Концепция справедливой стоимости.  Современные тенденции и перспективы </w:t>
      </w:r>
      <w:proofErr w:type="gramStart"/>
      <w:r w:rsidRPr="00175B43">
        <w:rPr>
          <w:rFonts w:ascii="Arial" w:hAnsi="Arial" w:cs="Arial"/>
          <w:sz w:val="24"/>
          <w:szCs w:val="24"/>
        </w:rPr>
        <w:t>применения различных методов оценки элементов финансовой отчётности</w:t>
      </w:r>
      <w:proofErr w:type="gramEnd"/>
      <w:r w:rsidRPr="00175B43">
        <w:rPr>
          <w:rFonts w:ascii="Arial" w:hAnsi="Arial" w:cs="Arial"/>
          <w:sz w:val="24"/>
          <w:szCs w:val="24"/>
        </w:rPr>
        <w:t>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http://www.ifrs.org/IFRSs/Pages/Official-Unaccompanied-IFRS-Translations.aspx#ru   (дата обращения . 01.01.2014). </w:t>
      </w:r>
      <w:r w:rsidRPr="00175B43">
        <w:rPr>
          <w:rFonts w:ascii="Arial" w:hAnsi="Arial" w:cs="Arial"/>
          <w:bCs/>
          <w:sz w:val="24"/>
          <w:szCs w:val="24"/>
          <w:lang w:eastAsia="ru-RU"/>
        </w:rPr>
        <w:t>Концептуальные основы финансовой отчетности,</w:t>
      </w:r>
      <w:r w:rsidRPr="00175B43">
        <w:rPr>
          <w:rFonts w:ascii="Arial" w:hAnsi="Arial" w:cs="Arial"/>
          <w:bCs/>
          <w:sz w:val="24"/>
          <w:szCs w:val="24"/>
        </w:rPr>
        <w:t xml:space="preserve"> стр. А22 – А33, МСФО (</w:t>
      </w:r>
      <w:r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Pr="00175B43">
        <w:rPr>
          <w:rFonts w:ascii="Arial" w:hAnsi="Arial" w:cs="Arial"/>
          <w:bCs/>
          <w:sz w:val="24"/>
          <w:szCs w:val="24"/>
        </w:rPr>
        <w:t>) 13 «Оценка справедливой стоимости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»..</w:t>
      </w:r>
      <w:proofErr w:type="gramEnd"/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Тема 4. Концепции капитала и поддержания капитала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Концепция финансового капитала и концепция физического капитала. Концепция поддержания финансового капитала и концепция поддержания физического капитала, их взаимосвязь с концепцией прибыли. Реализация концепций капитала в МСФО.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http://www.ifrs.org/IFRSs/Pages/Official-Unaccompanied-IFRS-Translations.aspx#ru   (дата обращения 01.01.2014.). </w:t>
      </w:r>
      <w:r w:rsidRPr="00175B43">
        <w:rPr>
          <w:rFonts w:ascii="Arial" w:hAnsi="Arial" w:cs="Arial"/>
          <w:bCs/>
          <w:sz w:val="24"/>
          <w:szCs w:val="24"/>
          <w:lang w:eastAsia="ru-RU"/>
        </w:rPr>
        <w:t>Концептуальные основы финансовой отчетности</w:t>
      </w:r>
      <w:r w:rsidRPr="00175B43">
        <w:rPr>
          <w:rFonts w:ascii="Arial" w:hAnsi="Arial" w:cs="Arial"/>
          <w:bCs/>
          <w:sz w:val="24"/>
          <w:szCs w:val="24"/>
        </w:rPr>
        <w:t xml:space="preserve">, стр. А34 – А35..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РАЗДЕЛ 2. ПРЕДСТАВЛЕНИЕ ФИНАНСОВОЙ ОТЧЁТНОСТИ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5. Состав и требования к представлению финансовой отчётности общего назначения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Компоненты финансовой отчетности. 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 xml:space="preserve">Достоверное представление и соответствие МСФО. </w:t>
      </w:r>
      <w:r w:rsidRPr="00175B43">
        <w:rPr>
          <w:rFonts w:ascii="Arial" w:hAnsi="Arial" w:cs="Arial"/>
          <w:sz w:val="24"/>
          <w:szCs w:val="24"/>
        </w:rPr>
        <w:t xml:space="preserve">Отступление от МСФО.  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>Допущения: непрерывность деятельности и</w:t>
      </w:r>
      <w:r w:rsidRPr="00175B4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>метод начисления.  Существенность и агрегирование.</w:t>
      </w:r>
      <w:r w:rsidRPr="00175B43">
        <w:rPr>
          <w:rFonts w:ascii="Arial" w:hAnsi="Arial" w:cs="Arial"/>
          <w:sz w:val="24"/>
          <w:szCs w:val="24"/>
        </w:rPr>
        <w:t xml:space="preserve"> 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>Взаимозачет.</w:t>
      </w:r>
      <w:r w:rsidRPr="00175B4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>Частота представления</w:t>
      </w:r>
      <w:r w:rsidRPr="00175B43">
        <w:rPr>
          <w:rFonts w:ascii="Arial" w:hAnsi="Arial" w:cs="Arial"/>
          <w:sz w:val="24"/>
          <w:szCs w:val="24"/>
        </w:rPr>
        <w:t xml:space="preserve"> финансовой отчетности. Сравнительная информация. Последовательность в представлении статей финансовой отчётности.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lastRenderedPageBreak/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7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1 «Представление финансовой отчетности».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Тема</w:t>
      </w:r>
      <w:r w:rsidRPr="00175B43">
        <w:rPr>
          <w:rFonts w:ascii="Arial" w:hAnsi="Arial" w:cs="Arial"/>
          <w:b/>
          <w:bCs/>
          <w:sz w:val="24"/>
          <w:szCs w:val="24"/>
          <w:lang w:val="en-US"/>
        </w:rPr>
        <w:t> </w:t>
      </w:r>
      <w:r w:rsidRPr="00175B43">
        <w:rPr>
          <w:rFonts w:ascii="Arial" w:hAnsi="Arial" w:cs="Arial"/>
          <w:b/>
          <w:bCs/>
          <w:sz w:val="24"/>
          <w:szCs w:val="24"/>
        </w:rPr>
        <w:t xml:space="preserve">6. Структура и содержание компонентов финансовой отчетности </w:t>
      </w:r>
    </w:p>
    <w:p w:rsidR="00702640" w:rsidRPr="00175B43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pacing w:val="-4"/>
          <w:sz w:val="24"/>
          <w:szCs w:val="24"/>
        </w:rPr>
      </w:pPr>
      <w:r w:rsidRPr="00175B43">
        <w:rPr>
          <w:rFonts w:ascii="Arial" w:hAnsi="Arial" w:cs="Arial"/>
          <w:spacing w:val="-4"/>
          <w:sz w:val="24"/>
          <w:szCs w:val="24"/>
        </w:rPr>
        <w:t>Отчет о финансовом положении. Информация, представляемая в Отчете о финансовом положении. Классификация на краткосрочные и долгосрочные статьи. Возможные спорные вопросы классификаций и их разрешение. Информация, которая может быть представлена в Отчете о финансовом положении или в Примечаниях. Критерии дополнительного раскрытия статей Отчета о финансовом положении в Примечаниях.</w:t>
      </w:r>
    </w:p>
    <w:p w:rsidR="00702640" w:rsidRPr="00175B43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Отчёт о прибыли и убытках и прочем совокупном доходе и/или Отчет о прибыли и убытках и Отчет о совокупном доходе. Информация, подлежащая представлению в Отчёте о прибыли и убытках и прочем  совокупном доходе. Представление прочего совокупного дохода. Обязательные раскрытия информации о прочем совокупном доходе. Классификация расходов по характеру или по функциям. Представление информации о прекращенной деятельности. 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 xml:space="preserve">Информация, подлежащая представлению в Отчете о </w:t>
      </w:r>
      <w:r w:rsidRPr="00175B43">
        <w:rPr>
          <w:rFonts w:ascii="Arial" w:hAnsi="Arial" w:cs="Arial"/>
          <w:sz w:val="24"/>
          <w:szCs w:val="24"/>
        </w:rPr>
        <w:t>прибыли и убытках и прочем </w:t>
      </w:r>
      <w:r w:rsidRPr="00175B43">
        <w:rPr>
          <w:rFonts w:ascii="Arial" w:hAnsi="Arial" w:cs="Arial"/>
          <w:bCs/>
          <w:color w:val="000000"/>
          <w:sz w:val="24"/>
          <w:szCs w:val="24"/>
        </w:rPr>
        <w:t xml:space="preserve"> совокупном доходе или в Примечаниях.</w:t>
      </w:r>
      <w:r w:rsidRPr="00175B43">
        <w:rPr>
          <w:rFonts w:ascii="Arial" w:hAnsi="Arial" w:cs="Arial"/>
          <w:sz w:val="24"/>
          <w:szCs w:val="24"/>
        </w:rPr>
        <w:t xml:space="preserve">  </w:t>
      </w:r>
    </w:p>
    <w:p w:rsidR="00702640" w:rsidRPr="00175B43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Отчёт об изменениях в капитале. Требования к составу и содержанию информации в Отчете об изменениях в капитале. Примеры операций по статьям капитала, включаемых в Отчёт об изменениях в капитале. Взаимосвязь показателей Отчета об изменениях в капитале с показателями Отчета о прибыли и убытках и прочем  совокупном доходе и Отчета о финансовом положении. </w:t>
      </w:r>
    </w:p>
    <w:p w:rsidR="00702640" w:rsidRPr="00175B43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Отчёт о движении денежных средств. Классификация денежных средств и их эквивалентов. Состав потоков денежных средств от операционной, инвестиционной и финансовой деятельности. Особенности классификации и представления финансовых доходов и расходов, дивидендов и расходов по налогу на прибыль. Структура отчета о движении денежных средств.  Прямой и </w:t>
      </w:r>
      <w:proofErr w:type="gramStart"/>
      <w:r w:rsidRPr="00175B43">
        <w:rPr>
          <w:rFonts w:ascii="Arial" w:hAnsi="Arial" w:cs="Arial"/>
          <w:sz w:val="24"/>
          <w:szCs w:val="24"/>
        </w:rPr>
        <w:t>косвенный</w:t>
      </w:r>
      <w:proofErr w:type="gramEnd"/>
      <w:r w:rsidRPr="00175B43">
        <w:rPr>
          <w:rFonts w:ascii="Arial" w:hAnsi="Arial" w:cs="Arial"/>
          <w:sz w:val="24"/>
          <w:szCs w:val="24"/>
        </w:rPr>
        <w:t xml:space="preserve"> методы представления потоков денежных средств от операционной деятельности. Представление потоков денежных средств от инвестиционной и финансовой деятельности. Раскрытия информации к Отчёту о движении денежных средств.</w:t>
      </w:r>
    </w:p>
    <w:p w:rsidR="00702640" w:rsidRPr="00175B43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Примечания к финансовой отчётности. Структура примечаний к отчётности по МСФО. Принципы и подходы к составлению примечаний к отчётности. Раскрытие в Примечаниях информации об учётной политике — требования минимальных раскрытий. Неопределенности учетных оценок. Прочие раскрытия информации в Примечаниях.</w:t>
      </w:r>
      <w:r w:rsidRPr="00175B4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lastRenderedPageBreak/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8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1 «Представление финансовой отчетности»,  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7 «Отчеты о движении денежных средств»,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5 «Долгосрочные активы, предназначенные для продажи, и прекращенная деятельность».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Тема 7. Промежуточная финансовая отчётность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Представление промежуточной финансовой отчетности. Состав промежуточной финансовой отчётности. Форма и содержание промежуточной финансовой отчетности. Информация для включения в Примечания к промежуточной финансовой отчётности. Периоды, за которые представляется промежуточная отчётность. Учётная политика в промежуточной финансовой отчётности. Взаимосвязь промежуточной и годовой финансовой отчетности.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 xml:space="preserve">Международные стандарты финансовой отчетности. [Электронный ресурс] режим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9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 34 «Промежуточная финансовая отчетность».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8. Прибыль на акцию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Сфера применения МСФО (</w:t>
      </w:r>
      <w:r w:rsidRPr="00175B43">
        <w:rPr>
          <w:rFonts w:ascii="Arial" w:hAnsi="Arial" w:cs="Arial"/>
          <w:sz w:val="24"/>
          <w:szCs w:val="24"/>
          <w:lang w:val="en-US"/>
        </w:rPr>
        <w:t>IAS</w:t>
      </w:r>
      <w:r w:rsidRPr="00175B43">
        <w:rPr>
          <w:rFonts w:ascii="Arial" w:hAnsi="Arial" w:cs="Arial"/>
          <w:sz w:val="24"/>
          <w:szCs w:val="24"/>
        </w:rPr>
        <w:t>) 33. Определения и формулы расчета  базовой прибыли на акцию и разводненной прибыли на акцию. Представление и раскрытие информации о прибыли на акцию в финансовой отчетности.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0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33 «Прибыль на акцию».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9. Информация о связанных сторонах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Понятие связанных сторон. Операции со связанными сторонами. Цель раскрытия информации о связанных сторонах. Порядок отражения в отчётности информации о связанных сторонах.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1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01.01.2014). 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 24 «Раскрытие информации о связанных сторонах».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10. Операционные сегменты </w:t>
      </w:r>
    </w:p>
    <w:p w:rsidR="00702640" w:rsidRPr="00175B43" w:rsidRDefault="00702640" w:rsidP="00702640">
      <w:pPr>
        <w:pStyle w:val="Default"/>
        <w:spacing w:before="60"/>
        <w:ind w:left="360"/>
        <w:jc w:val="both"/>
      </w:pPr>
      <w:r w:rsidRPr="00175B43">
        <w:lastRenderedPageBreak/>
        <w:t xml:space="preserve">Сфера применения </w:t>
      </w:r>
      <w:r w:rsidRPr="00175B43">
        <w:rPr>
          <w:bCs/>
        </w:rPr>
        <w:t>МСФО (</w:t>
      </w:r>
      <w:r w:rsidRPr="00175B43">
        <w:rPr>
          <w:bCs/>
          <w:lang w:val="en-US"/>
        </w:rPr>
        <w:t>IFRS</w:t>
      </w:r>
      <w:r w:rsidRPr="00175B43">
        <w:rPr>
          <w:bCs/>
        </w:rPr>
        <w:t>) 8.</w:t>
      </w:r>
      <w:r w:rsidRPr="00175B43">
        <w:rPr>
          <w:b/>
          <w:bCs/>
        </w:rPr>
        <w:t xml:space="preserve"> </w:t>
      </w:r>
      <w:r w:rsidRPr="00175B43">
        <w:rPr>
          <w:bCs/>
        </w:rPr>
        <w:t>Основной принцип.</w:t>
      </w:r>
      <w:r w:rsidRPr="00175B43">
        <w:rPr>
          <w:b/>
          <w:bCs/>
        </w:rPr>
        <w:t xml:space="preserve"> </w:t>
      </w:r>
      <w:r w:rsidRPr="00175B43">
        <w:t>Понятие операционного сегмента. Отчетные сегменты: критерии агрегирования и пороговые значения. Раскрытие информации: общая информация, и</w:t>
      </w:r>
      <w:r w:rsidRPr="00175B43">
        <w:rPr>
          <w:bCs/>
        </w:rPr>
        <w:t>нформация о прибыли или убытках, активах и обязательствах.</w:t>
      </w:r>
      <w:r w:rsidRPr="00175B43">
        <w:t xml:space="preserve"> Оценка статей отчетных сегментов, согласование информации. Раскрытие информации по предприятию в целом: информация о продуктах и услугах, по географическим регионам и основным покупателям.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2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01.01.2014). 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8 «Операционные сегменты».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РАЗДЕЛ 3. МЕЖДУНАРОДНЫЕ СТАНДАРТЫ ФИНАНСОВОЙ ОТЧЕТНОСТИ ОБЩЕГО НАЗНАЧЕНИЯ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12. События после отчётной даты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Период событий после отчётной даты. Определение событий после отчётной даты. Корректирующие и </w:t>
      </w:r>
      <w:proofErr w:type="spellStart"/>
      <w:r w:rsidRPr="00175B43">
        <w:rPr>
          <w:rFonts w:ascii="Arial" w:hAnsi="Arial" w:cs="Arial"/>
          <w:sz w:val="24"/>
          <w:szCs w:val="24"/>
        </w:rPr>
        <w:t>некорректирующие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 события после отчётной даты. Классификация и примеры корректирующих и </w:t>
      </w:r>
      <w:proofErr w:type="spellStart"/>
      <w:r w:rsidRPr="00175B43">
        <w:rPr>
          <w:rFonts w:ascii="Arial" w:hAnsi="Arial" w:cs="Arial"/>
          <w:sz w:val="24"/>
          <w:szCs w:val="24"/>
        </w:rPr>
        <w:t>некорректирующих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 событий. Отражение обоих типов событий после отчётной даты в финансовой отчётности. Отражение дивидендов, объявленных после отчётной даты.</w:t>
      </w:r>
      <w:r w:rsidRPr="00175B43">
        <w:rPr>
          <w:rFonts w:ascii="Arial" w:hAnsi="Arial" w:cs="Arial"/>
          <w:bCs/>
          <w:sz w:val="24"/>
          <w:szCs w:val="24"/>
        </w:rPr>
        <w:t xml:space="preserve"> Неприменимость допущения о непрерывности деятельности. Раскрытие информации о событиях после отчетной даты.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3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</w:t>
      </w:r>
      <w:proofErr w:type="gramStart"/>
      <w:r w:rsidR="00702640" w:rsidRPr="00175B43">
        <w:rPr>
          <w:rFonts w:ascii="Arial" w:hAnsi="Arial" w:cs="Arial"/>
          <w:bCs/>
          <w:sz w:val="24"/>
          <w:szCs w:val="24"/>
        </w:rPr>
        <w:t xml:space="preserve"> )</w:t>
      </w:r>
      <w:proofErr w:type="gramEnd"/>
      <w:r w:rsidR="00702640" w:rsidRPr="00175B43">
        <w:rPr>
          <w:rFonts w:ascii="Arial" w:hAnsi="Arial" w:cs="Arial"/>
          <w:bCs/>
          <w:sz w:val="24"/>
          <w:szCs w:val="24"/>
        </w:rPr>
        <w:t>.  МСФО (</w:t>
      </w:r>
      <w:r w:rsidR="00702640" w:rsidRPr="00175B43">
        <w:rPr>
          <w:rFonts w:ascii="Arial" w:hAnsi="Arial" w:cs="Arial"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sz w:val="24"/>
          <w:szCs w:val="24"/>
        </w:rPr>
        <w:t xml:space="preserve">) </w:t>
      </w:r>
      <w:r w:rsidR="00702640" w:rsidRPr="00175B43">
        <w:rPr>
          <w:rFonts w:ascii="Arial" w:hAnsi="Arial" w:cs="Arial"/>
          <w:bCs/>
          <w:sz w:val="24"/>
          <w:szCs w:val="24"/>
        </w:rPr>
        <w:t>10 «События после окончания отчетного периода».</w:t>
      </w:r>
    </w:p>
    <w:p w:rsidR="00702640" w:rsidRPr="00175B43" w:rsidRDefault="00702640" w:rsidP="00702640">
      <w:pPr>
        <w:suppressAutoHyphens/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>РАЗДЕЛ 5. КОНСОЛИДИРОВАННАЯ И ОТДЕЛЬНАЯ ФИНАНСОВАЯ ОТЧЕТНОСТЬ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27. Объединения бизнеса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 Объединение бизнеса, контроль, неконтролирующие доли. Метод приобретения – идентификация покупателя, дата приобретения, стоимость приобретения и затраты, связанные с приобретением, приобретенные идентифицируемые активы, обязательства, неконтролирующие доли, </w:t>
      </w:r>
      <w:proofErr w:type="spellStart"/>
      <w:r w:rsidRPr="00175B43">
        <w:rPr>
          <w:rFonts w:ascii="Arial" w:hAnsi="Arial" w:cs="Arial"/>
          <w:sz w:val="24"/>
          <w:szCs w:val="24"/>
        </w:rPr>
        <w:t>гудвилл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 или доход от выгодной сделки. Признание и оценка приобретенных идентифицируемых активов и обязательств. Исключения из принципов признания и оценки. Признание и оценка неконтролирующих долей и </w:t>
      </w:r>
      <w:proofErr w:type="spellStart"/>
      <w:r w:rsidRPr="00175B43">
        <w:rPr>
          <w:rFonts w:ascii="Arial" w:hAnsi="Arial" w:cs="Arial"/>
          <w:sz w:val="24"/>
          <w:szCs w:val="24"/>
        </w:rPr>
        <w:t>гудвилла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, возникающего при приобретении, или дохода от приобретения по сниженной цене. Поэтапное объединение бизнеса, объединение без передачи возмещения. Период оценки. Последующая оценка и учет: повторно приобретенные права, условные обязательства, компенсирующие активы, </w:t>
      </w:r>
      <w:r w:rsidRPr="00175B43">
        <w:rPr>
          <w:rFonts w:ascii="Arial" w:hAnsi="Arial" w:cs="Arial"/>
          <w:sz w:val="24"/>
          <w:szCs w:val="24"/>
        </w:rPr>
        <w:lastRenderedPageBreak/>
        <w:t>условное возмещение. Требования к раскрытию информации в отчетности об объединениях бизнеса.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4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3 «Объединения бизнеса».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28. Инвестиции в ассоциированные и совместные предприятия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Определения ассоциированного предприятия и совместной деятельности. Значительное влияние и совместный контроль.  Виды совместной деятельности.  Метод долевого участия и его применение для учета инвестиций в ассоциированные и совместные предприятия. Освобождение от метода долевого участия. Прекращение использования метода долевого участия. Изменения в доле владения.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Процедуры, применяемые при использовании метода долевого участия. Операции между участником совместного предприятия и совместным предприятием; инвестором и ассоциированным предприятием. Корректировки при подготовке консолидированной отчетности. Обесценение инвестиций в ассоциированные и совместные предприятия. Убыточные ассоциированные и совместные предприятия.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Учет инвестиций в совместные и ассоциированные предприятия в отдельной финансовой отчетности участника и инвестора.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Раскрытие информации в финансовой отчетности об участии в совместной деятельности и ассоциированных  предприятиях.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5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28 «Инвестиции в ассоциированные и совместные предприятия» 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11 «Совместная деятельность»,  «МСФО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12 «Раскрытие информации об участии в других предприятиях».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29. Консолидированная и отдельная финансовая отчётность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Концепция группы и цель составления консолидированной отчетности. Определения материнского и дочернего предприятий. Принцип контроля. Признаки контроля. Освобождение от представления консолидированной финансовой отчетности.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 w:rsidRPr="00175B43">
        <w:rPr>
          <w:rFonts w:ascii="Arial" w:hAnsi="Arial" w:cs="Arial"/>
          <w:sz w:val="24"/>
          <w:szCs w:val="24"/>
        </w:rPr>
        <w:t xml:space="preserve">Процедуры консолидации на дату приобретения и на дату отчетности: единая учетная политика, отчетная дата, потенциальные права голоса, объединение аналогичных статей элементов отчетности и потоков денежных средств материнского и дочерних предприятий, исключение балансовой стоимости </w:t>
      </w:r>
      <w:r w:rsidRPr="00175B43">
        <w:rPr>
          <w:rFonts w:ascii="Arial" w:hAnsi="Arial" w:cs="Arial"/>
          <w:sz w:val="24"/>
          <w:szCs w:val="24"/>
        </w:rPr>
        <w:lastRenderedPageBreak/>
        <w:t xml:space="preserve">инвестиций материнского предприятия в каждое из дочерних предприятий и доли материнского предприятия в капитале каждого из дочерних предприятий с выявлением </w:t>
      </w:r>
      <w:proofErr w:type="spellStart"/>
      <w:r w:rsidRPr="00175B43">
        <w:rPr>
          <w:rFonts w:ascii="Arial" w:hAnsi="Arial" w:cs="Arial"/>
          <w:sz w:val="24"/>
          <w:szCs w:val="24"/>
        </w:rPr>
        <w:t>гудвилла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 или дохода от выгодной сделки в</w:t>
      </w:r>
      <w:proofErr w:type="gramEnd"/>
      <w:r w:rsidRPr="00175B4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sz w:val="24"/>
          <w:szCs w:val="24"/>
        </w:rPr>
        <w:t xml:space="preserve">соответствии с </w:t>
      </w:r>
      <w:r w:rsidRPr="00175B43">
        <w:rPr>
          <w:rFonts w:ascii="Arial" w:hAnsi="Arial" w:cs="Arial"/>
          <w:bCs/>
          <w:sz w:val="24"/>
          <w:szCs w:val="24"/>
        </w:rPr>
        <w:t>МСФО (</w:t>
      </w:r>
      <w:r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Pr="00175B43">
        <w:rPr>
          <w:rFonts w:ascii="Arial" w:hAnsi="Arial" w:cs="Arial"/>
          <w:bCs/>
          <w:sz w:val="24"/>
          <w:szCs w:val="24"/>
        </w:rPr>
        <w:t xml:space="preserve">) 3 «Объединения бизнеса», полное исключение внутригрупповых активов, обязательств, капитала, доходов, расходов и потоков денежных средств, связанных с операциями между предприятиями группы, а также нереализованных прибылей или убытков и </w:t>
      </w:r>
      <w:r w:rsidRPr="00175B43">
        <w:rPr>
          <w:rFonts w:ascii="Arial" w:hAnsi="Arial" w:cs="Arial"/>
          <w:sz w:val="24"/>
          <w:szCs w:val="24"/>
        </w:rPr>
        <w:t xml:space="preserve">дивидендов, расчет доходов и расходов дочернего предприятия на основе величины активов и обязательств, признанных в консолидированной отчетности на дату приобретения, обесценение </w:t>
      </w:r>
      <w:proofErr w:type="spellStart"/>
      <w:r w:rsidRPr="00175B43">
        <w:rPr>
          <w:rFonts w:ascii="Arial" w:hAnsi="Arial" w:cs="Arial"/>
          <w:sz w:val="24"/>
          <w:szCs w:val="24"/>
        </w:rPr>
        <w:t>гудвилла</w:t>
      </w:r>
      <w:proofErr w:type="spellEnd"/>
      <w:r w:rsidRPr="00175B43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Неконтролирующие доли и изменение в их пропорциональном отношении. Утрата контроля над дочерним предприятием.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>Учет инвестиций в дочерние предприятия в отдельной финансовой отчетности материнского предприятия.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Раскрытие информации в консолидированной финансовой отчетности об участии в дочерних предприятиях.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6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>) 27 « Отдельная финансовая отчетность».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10 «Консолидированная финансовая отчетность», МСФО (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175B43">
        <w:rPr>
          <w:rFonts w:ascii="Arial" w:hAnsi="Arial" w:cs="Arial"/>
          <w:bCs/>
          <w:sz w:val="24"/>
          <w:szCs w:val="24"/>
        </w:rPr>
        <w:t>) 12 «Раскрытие информации об участии в других предприятиях».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30. Влияние изменений обменных курсов валют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t xml:space="preserve">Цель и сфера применения. Определения МСФО </w:t>
      </w:r>
      <w:r w:rsidRPr="00175B43">
        <w:rPr>
          <w:rFonts w:ascii="Arial" w:hAnsi="Arial" w:cs="Arial"/>
          <w:bCs/>
          <w:sz w:val="24"/>
          <w:szCs w:val="24"/>
        </w:rPr>
        <w:t>(</w:t>
      </w:r>
      <w:r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Pr="00175B43">
        <w:rPr>
          <w:rFonts w:ascii="Arial" w:hAnsi="Arial" w:cs="Arial"/>
          <w:bCs/>
          <w:sz w:val="24"/>
          <w:szCs w:val="24"/>
        </w:rPr>
        <w:t xml:space="preserve">) </w:t>
      </w:r>
      <w:r w:rsidRPr="00175B43">
        <w:rPr>
          <w:rFonts w:ascii="Arial" w:hAnsi="Arial" w:cs="Arial"/>
          <w:sz w:val="24"/>
          <w:szCs w:val="24"/>
        </w:rPr>
        <w:t xml:space="preserve">21.  Функциональная валюта и валюта представления. Отражение в функциональной валюте операций в иностранной валюте – первоначальное признание и последующее отражение в отчётности. Признание </w:t>
      </w:r>
      <w:proofErr w:type="gramStart"/>
      <w:r w:rsidRPr="00175B43">
        <w:rPr>
          <w:rFonts w:ascii="Arial" w:hAnsi="Arial" w:cs="Arial"/>
          <w:sz w:val="24"/>
          <w:szCs w:val="24"/>
        </w:rPr>
        <w:t>курсовых</w:t>
      </w:r>
      <w:proofErr w:type="gramEnd"/>
      <w:r w:rsidRPr="00175B4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5B43">
        <w:rPr>
          <w:rFonts w:ascii="Arial" w:hAnsi="Arial" w:cs="Arial"/>
          <w:sz w:val="24"/>
          <w:szCs w:val="24"/>
        </w:rPr>
        <w:t>разниц</w:t>
      </w:r>
      <w:proofErr w:type="spellEnd"/>
      <w:r w:rsidRPr="00175B43">
        <w:rPr>
          <w:rFonts w:ascii="Arial" w:hAnsi="Arial" w:cs="Arial"/>
          <w:sz w:val="24"/>
          <w:szCs w:val="24"/>
        </w:rPr>
        <w:t>. Изменение функциональной валюты. Использование валюты представления, отличной от функциональной валюты. Правила трансляции зарубежной деятельности. Выбытие зарубежной деятельности. Раскрытие информации об эффектах изменения валютных курсов в финансовой отчетности.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7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 xml:space="preserve">. (дата обращения 01.01.2014.). МСФО / </w:t>
      </w:r>
      <w:r w:rsidR="00702640" w:rsidRPr="00175B43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175B43">
        <w:rPr>
          <w:rFonts w:ascii="Arial" w:hAnsi="Arial" w:cs="Arial"/>
          <w:bCs/>
          <w:sz w:val="24"/>
          <w:szCs w:val="24"/>
        </w:rPr>
        <w:t xml:space="preserve"> 21 « Влияние изменения обменных курсов валют».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175B43">
        <w:rPr>
          <w:rFonts w:ascii="Arial" w:hAnsi="Arial" w:cs="Arial"/>
          <w:b/>
          <w:bCs/>
          <w:sz w:val="24"/>
          <w:szCs w:val="24"/>
        </w:rPr>
        <w:t xml:space="preserve">Тема  31. Первое применение МСФО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175B43">
        <w:rPr>
          <w:rFonts w:ascii="Arial" w:hAnsi="Arial" w:cs="Arial"/>
          <w:sz w:val="24"/>
          <w:szCs w:val="24"/>
        </w:rPr>
        <w:lastRenderedPageBreak/>
        <w:t xml:space="preserve">Цель и сфера применения </w:t>
      </w:r>
      <w:r w:rsidRPr="00175B43">
        <w:rPr>
          <w:rFonts w:ascii="Arial" w:hAnsi="Arial" w:cs="Arial"/>
          <w:bCs/>
          <w:sz w:val="24"/>
          <w:szCs w:val="24"/>
        </w:rPr>
        <w:t>МСФО / IFRS 1</w:t>
      </w:r>
      <w:r w:rsidRPr="00175B43">
        <w:rPr>
          <w:rFonts w:ascii="Arial" w:hAnsi="Arial" w:cs="Arial"/>
          <w:sz w:val="24"/>
          <w:szCs w:val="24"/>
        </w:rPr>
        <w:t xml:space="preserve">. Основные определения и этапы перехода на МСФО. Вступительный Отчет о финансовом положении по МСФО. Правила признания активов и обязательств на дату перехода на МСФО. Добровольные и обязательные исключения из требований других МСФО. Представление и раскрытие информации: сравнительная информация, пояснения последствий перехода на МСФО, выверки, прочие пояснения. </w:t>
      </w:r>
    </w:p>
    <w:p w:rsidR="00702640" w:rsidRPr="00175B43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175B43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.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175B43">
        <w:rPr>
          <w:rFonts w:ascii="Arial" w:hAnsi="Arial" w:cs="Arial"/>
          <w:bCs/>
          <w:sz w:val="24"/>
          <w:szCs w:val="24"/>
        </w:rPr>
        <w:t>р</w:t>
      </w:r>
      <w:proofErr w:type="gramEnd"/>
      <w:r w:rsidRPr="00175B43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175B43" w:rsidRDefault="008937DE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8" w:history="1">
        <w:r w:rsidR="00702640" w:rsidRPr="00175B43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175B43">
        <w:rPr>
          <w:rFonts w:ascii="Arial" w:hAnsi="Arial" w:cs="Arial"/>
          <w:bCs/>
          <w:sz w:val="24"/>
          <w:szCs w:val="24"/>
        </w:rPr>
        <w:t>. (дата обращения 01.01.2014.). МСФО (IFRS) 1 «Первое применение международных стандартов финансовой отчетности».</w:t>
      </w:r>
    </w:p>
    <w:p w:rsidR="00702640" w:rsidRPr="00175B43" w:rsidRDefault="00702640" w:rsidP="00702640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E07C8B" w:rsidRPr="00175B43" w:rsidRDefault="00E07C8B">
      <w:pPr>
        <w:rPr>
          <w:sz w:val="24"/>
          <w:szCs w:val="24"/>
        </w:rPr>
      </w:pPr>
    </w:p>
    <w:sectPr w:rsidR="00E07C8B" w:rsidRPr="00175B43" w:rsidSect="00175B43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B43" w:rsidRDefault="00175B43" w:rsidP="00175B43">
      <w:pPr>
        <w:spacing w:after="0" w:line="240" w:lineRule="auto"/>
      </w:pPr>
      <w:r>
        <w:separator/>
      </w:r>
    </w:p>
  </w:endnote>
  <w:endnote w:type="continuationSeparator" w:id="0">
    <w:p w:rsidR="00175B43" w:rsidRDefault="00175B43" w:rsidP="0017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15"/>
      <w:docPartObj>
        <w:docPartGallery w:val="Page Numbers (Bottom of Page)"/>
        <w:docPartUnique/>
      </w:docPartObj>
    </w:sdtPr>
    <w:sdtContent>
      <w:p w:rsidR="00175B43" w:rsidRDefault="008937DE">
        <w:pPr>
          <w:pStyle w:val="a7"/>
          <w:jc w:val="right"/>
        </w:pPr>
        <w:fldSimple w:instr=" PAGE   \* MERGEFORMAT ">
          <w:r w:rsidR="002E7E62">
            <w:rPr>
              <w:noProof/>
            </w:rPr>
            <w:t>8</w:t>
          </w:r>
        </w:fldSimple>
      </w:p>
    </w:sdtContent>
  </w:sdt>
  <w:p w:rsidR="00175B43" w:rsidRDefault="00175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B43" w:rsidRDefault="00175B43" w:rsidP="00175B43">
      <w:pPr>
        <w:spacing w:after="0" w:line="240" w:lineRule="auto"/>
      </w:pPr>
      <w:r>
        <w:separator/>
      </w:r>
    </w:p>
  </w:footnote>
  <w:footnote w:type="continuationSeparator" w:id="0">
    <w:p w:rsidR="00175B43" w:rsidRDefault="00175B43" w:rsidP="00175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640"/>
    <w:rsid w:val="00175B43"/>
    <w:rsid w:val="002E277E"/>
    <w:rsid w:val="002E7E62"/>
    <w:rsid w:val="00702640"/>
    <w:rsid w:val="008937DE"/>
    <w:rsid w:val="00BA43E7"/>
    <w:rsid w:val="00D404BC"/>
    <w:rsid w:val="00E0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6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2640"/>
    <w:rPr>
      <w:color w:val="0000FF"/>
      <w:u w:val="single"/>
    </w:rPr>
  </w:style>
  <w:style w:type="paragraph" w:customStyle="1" w:styleId="Default">
    <w:name w:val="Default"/>
    <w:rsid w:val="007026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75B4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75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75B43"/>
  </w:style>
  <w:style w:type="paragraph" w:styleId="a7">
    <w:name w:val="footer"/>
    <w:basedOn w:val="a"/>
    <w:link w:val="a8"/>
    <w:uiPriority w:val="99"/>
    <w:unhideWhenUsed/>
    <w:rsid w:val="00175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5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minfin.ru/ru/accounting/mej_standart_fo/docs/" TargetMode="External"/><Relationship Id="rId13" Type="http://schemas.openxmlformats.org/officeDocument/2006/relationships/hyperlink" Target="http://www1.minfin.ru/ru/accounting/mej_standart_fo/docs/" TargetMode="External"/><Relationship Id="rId18" Type="http://schemas.openxmlformats.org/officeDocument/2006/relationships/hyperlink" Target="http://www1.minfin.ru/ru/accounting/mej_standart_fo/docs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1.minfin.ru/ru/accounting/mej_standart_fo/docs/" TargetMode="External"/><Relationship Id="rId12" Type="http://schemas.openxmlformats.org/officeDocument/2006/relationships/hyperlink" Target="http://www1.minfin.ru/ru/accounting/mej_standart_fo/docs/" TargetMode="External"/><Relationship Id="rId17" Type="http://schemas.openxmlformats.org/officeDocument/2006/relationships/hyperlink" Target="http://www1.minfin.ru/ru/accounting/mej_standart_fo/doc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1.minfin.ru/ru/accounting/mej_standart_fo/doc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pbr.org/about/documents/education/attestation/programs/chief-accountant-ias/09" TargetMode="External"/><Relationship Id="rId11" Type="http://schemas.openxmlformats.org/officeDocument/2006/relationships/hyperlink" Target="http://www1.minfin.ru/ru/accounting/mej_standart_fo/doc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1.minfin.ru/ru/accounting/mej_standart_fo/docs/" TargetMode="External"/><Relationship Id="rId10" Type="http://schemas.openxmlformats.org/officeDocument/2006/relationships/hyperlink" Target="http://www1.minfin.ru/ru/accounting/mej_standart_fo/docs/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1.minfin.ru/ru/accounting/mej_standart_fo/docs/" TargetMode="External"/><Relationship Id="rId14" Type="http://schemas.openxmlformats.org/officeDocument/2006/relationships/hyperlink" Target="http://www1.minfin.ru/ru/accounting/mej_standart_fo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2014-05-12T06:54:00Z</cp:lastPrinted>
  <dcterms:created xsi:type="dcterms:W3CDTF">2014-03-31T10:30:00Z</dcterms:created>
  <dcterms:modified xsi:type="dcterms:W3CDTF">2014-05-14T10:01:00Z</dcterms:modified>
</cp:coreProperties>
</file>